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D2" w:rsidRDefault="00EF60D2" w:rsidP="00EF60D2">
      <w:pPr>
        <w:rPr>
          <w:rFonts w:hint="eastAsia"/>
        </w:rPr>
      </w:pPr>
      <w:r>
        <w:rPr>
          <w:rFonts w:hint="eastAsia"/>
        </w:rPr>
        <w:t>艺术应激</w:t>
      </w:r>
    </w:p>
    <w:p w:rsidR="00EF60D2" w:rsidRDefault="00EF60D2" w:rsidP="00EF60D2">
      <w:pPr>
        <w:ind w:firstLineChars="200" w:firstLine="420"/>
        <w:rPr>
          <w:rFonts w:hint="eastAsia"/>
        </w:rPr>
      </w:pPr>
      <w:r>
        <w:rPr>
          <w:rFonts w:hint="eastAsia"/>
        </w:rPr>
        <w:t>艺术应激是文艺工作者在艺术活动中，当出现意外情况时引起的应对情绪状态。当文艺工作者在艺术活动中遇到困难，特别是面对出乎意料的紧急情况时，多数人能自然进入良好艺术应激状态中，这是一种把各种艺术潜力调动起来的过程。比如，当演奏时突然遇到外界干扰，演奏者可能会临时发挥，调动一切艺术潜力，进入艺术“救急”状态。当然，在艺术应激状态下，人并不都是能够应付自如的，也并不都会有良好表现。有些人在艺术应激状态下，正常的活动会受到抑制，造成活动紊乱，有的甚至造成艺术感知、艺术记忆和艺术判断的失误。在艺术活动中，突如其来的刺激可能使文艺工作者不能适应。但多数人的艺术思维会特别清晰、明确。在艺术应激状态下，文艺工作者的行为如何，这主要取决个体艺术个性的特征。比如，有的文艺工作者在艺术活动中，如果发生意外错误，能迅速判断情况，找到解决办法。而有的人却做不到。其实，这取决于艺术应激状态下的主体意志是否果断刚毅，是否有类似的经验等等。</w:t>
      </w:r>
    </w:p>
    <w:p w:rsidR="007B5C84" w:rsidRPr="00EF60D2" w:rsidRDefault="007B5C84">
      <w:bookmarkStart w:id="0" w:name="_GoBack"/>
      <w:bookmarkEnd w:id="0"/>
    </w:p>
    <w:sectPr w:rsidR="007B5C84" w:rsidRPr="00EF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D2"/>
    <w:rsid w:val="007B5C84"/>
    <w:rsid w:val="00E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2019-06-06T00:18:00Z</dcterms:created>
  <dcterms:modified xsi:type="dcterms:W3CDTF">2019-06-06T00:18:00Z</dcterms:modified>
</cp:coreProperties>
</file>